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333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DE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804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110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23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214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E6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DE671D">
              <w:rPr>
                <w:rFonts w:ascii="Times New Roman" w:hAnsi="Times New Roman"/>
                <w:sz w:val="24"/>
                <w:szCs w:val="24"/>
              </w:rPr>
              <w:t>55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992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13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316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E6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749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DE67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804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DF06ED">
              <w:rPr>
                <w:rFonts w:ascii="Times New Roman" w:hAnsi="Times New Roman"/>
                <w:sz w:val="28"/>
                <w:szCs w:val="28"/>
              </w:rPr>
              <w:t>66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06ED">
              <w:rPr>
                <w:rFonts w:ascii="Times New Roman" w:hAnsi="Times New Roman"/>
                <w:sz w:val="28"/>
                <w:szCs w:val="28"/>
              </w:rPr>
              <w:t>491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5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92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242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F06ED">
                    <w:rPr>
                      <w:rFonts w:ascii="Times New Roman" w:hAnsi="Times New Roman" w:cs="Times New Roman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>8,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503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510,5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72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537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371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877F80">
                    <w:rPr>
                      <w:rFonts w:ascii="Times New Roman" w:hAnsi="Times New Roman"/>
                    </w:rPr>
                    <w:t>66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877F80">
                    <w:rPr>
                      <w:rFonts w:ascii="Times New Roman" w:hAnsi="Times New Roman"/>
                    </w:rPr>
                    <w:t>491</w:t>
                  </w:r>
                  <w:r w:rsidRPr="00A8263E">
                    <w:rPr>
                      <w:rFonts w:ascii="Times New Roman" w:hAnsi="Times New Roman"/>
                    </w:rPr>
                    <w:t>,7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317F90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1178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7F90" w:rsidRDefault="00C47F80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17F90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D29C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CD29C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D29C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 w:rsidR="001A6A50">
              <w:rPr>
                <w:rFonts w:ascii="Times New Roman" w:hAnsi="Times New Roman"/>
                <w:sz w:val="19"/>
                <w:szCs w:val="19"/>
              </w:rPr>
              <w:t>55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992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1A6A50">
              <w:rPr>
                <w:rFonts w:ascii="Times New Roman" w:hAnsi="Times New Roman"/>
                <w:sz w:val="19"/>
                <w:szCs w:val="19"/>
              </w:rPr>
              <w:t>23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014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503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0,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FD4CF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242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499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2970DB">
              <w:rPr>
                <w:rFonts w:ascii="Times New Roman" w:hAnsi="Times New Roman"/>
                <w:sz w:val="19"/>
                <w:szCs w:val="19"/>
              </w:rPr>
              <w:t>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938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4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4 284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F6355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bookmarkStart w:id="0" w:name="_GoBack"/>
            <w:bookmarkEnd w:id="0"/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CA" w:rsidRDefault="00CD29CA">
      <w:pPr>
        <w:spacing w:after="0" w:line="240" w:lineRule="auto"/>
      </w:pPr>
      <w:r>
        <w:separator/>
      </w:r>
    </w:p>
  </w:endnote>
  <w:endnote w:type="continuationSeparator" w:id="0">
    <w:p w:rsidR="00CD29CA" w:rsidRDefault="00CD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CA" w:rsidRDefault="00CD29CA">
      <w:pPr>
        <w:spacing w:after="0" w:line="240" w:lineRule="auto"/>
      </w:pPr>
      <w:r>
        <w:separator/>
      </w:r>
    </w:p>
  </w:footnote>
  <w:footnote w:type="continuationSeparator" w:id="0">
    <w:p w:rsidR="00CD29CA" w:rsidRDefault="00CD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1A6A50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A6A50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A6A50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9CA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FBA6-7D38-4E46-973C-064FB8A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68</Pages>
  <Words>22448</Words>
  <Characters>127955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</cp:revision>
  <cp:lastPrinted>2024-01-16T12:47:00Z</cp:lastPrinted>
  <dcterms:created xsi:type="dcterms:W3CDTF">2024-08-09T11:52:00Z</dcterms:created>
  <dcterms:modified xsi:type="dcterms:W3CDTF">2024-08-09T12:27:00Z</dcterms:modified>
</cp:coreProperties>
</file>